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77777777"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Pr="00564B51">
        <w:rPr>
          <w:b/>
          <w:bCs/>
          <w:sz w:val="28"/>
          <w:szCs w:val="28"/>
        </w:rPr>
        <w:t>Адельшинского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26E2743D"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A25A43" w:rsidRPr="00564B51">
        <w:rPr>
          <w:b/>
          <w:bCs/>
          <w:sz w:val="28"/>
          <w:szCs w:val="28"/>
        </w:rPr>
        <w:t xml:space="preserve">АДЕЛЬШИНСКОГО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616ED80E"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A25A43" w:rsidRPr="00564B51">
        <w:rPr>
          <w:b/>
          <w:bCs/>
          <w:sz w:val="28"/>
          <w:szCs w:val="28"/>
        </w:rPr>
        <w:t>Адельшинского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3B31276C"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Адельшинского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214EA353"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Адельшинского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4BE63AF8" w:rsidR="00591BAF" w:rsidRPr="00564B51" w:rsidRDefault="00591BAF" w:rsidP="0003404A">
            <w:pPr>
              <w:widowControl w:val="0"/>
              <w:autoSpaceDE w:val="0"/>
              <w:autoSpaceDN w:val="0"/>
              <w:adjustRightInd w:val="0"/>
              <w:jc w:val="center"/>
            </w:pPr>
            <w:r w:rsidRPr="00793A1A">
              <w:t>8</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2725BF7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«Адельшинское сельское поселение» Чистопольского  муниципального района Республики Татарстан</w:t>
      </w:r>
      <w:r w:rsidR="00490664" w:rsidRPr="00564B51">
        <w:rPr>
          <w:sz w:val="28"/>
          <w:szCs w:val="28"/>
        </w:rPr>
        <w:t>.</w:t>
      </w:r>
    </w:p>
    <w:p w14:paraId="36088890" w14:textId="6B8A07D4"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A25A43" w:rsidRPr="00564B51">
        <w:rPr>
          <w:sz w:val="28"/>
          <w:szCs w:val="28"/>
        </w:rPr>
        <w:t>Адельшинского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3B864360"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A25A43" w:rsidRPr="00564B51">
        <w:rPr>
          <w:sz w:val="28"/>
          <w:szCs w:val="28"/>
        </w:rPr>
        <w:t>Адельшинского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2AC0EF13"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A25A43" w:rsidRPr="00564B51">
        <w:rPr>
          <w:color w:val="000000"/>
          <w:sz w:val="28"/>
          <w:szCs w:val="28"/>
        </w:rPr>
        <w:t>Адельшинское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A25A43" w:rsidRPr="00564B51">
        <w:rPr>
          <w:sz w:val="28"/>
          <w:szCs w:val="28"/>
        </w:rPr>
        <w:t>Адельшинское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муниципального образования </w:t>
      </w:r>
      <w:r w:rsidR="00B804FB" w:rsidRPr="00564B51">
        <w:rPr>
          <w:sz w:val="28"/>
          <w:szCs w:val="28"/>
        </w:rPr>
        <w:lastRenderedPageBreak/>
        <w:t>«Чистопольский муниципальный район» и муниципальных образований в его составе»</w:t>
      </w:r>
      <w:r w:rsidR="00C81C72" w:rsidRPr="00564B51">
        <w:rPr>
          <w:color w:val="000000"/>
          <w:sz w:val="28"/>
          <w:szCs w:val="28"/>
        </w:rPr>
        <w:t>.</w:t>
      </w:r>
    </w:p>
    <w:p w14:paraId="0F34A6A9" w14:textId="6E0E5635"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«Адельшинское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35804581" w:rsidR="00E02232" w:rsidRPr="00564B51" w:rsidRDefault="00C81C72" w:rsidP="00886B4F">
      <w:pPr>
        <w:ind w:right="-1" w:firstLine="567"/>
        <w:jc w:val="both"/>
        <w:rPr>
          <w:sz w:val="28"/>
          <w:szCs w:val="28"/>
        </w:rPr>
      </w:pPr>
      <w:r w:rsidRPr="00793A1A">
        <w:rPr>
          <w:color w:val="000000"/>
          <w:sz w:val="28"/>
          <w:szCs w:val="28"/>
        </w:rPr>
        <w:t xml:space="preserve">Административным центром </w:t>
      </w:r>
      <w:r w:rsidR="001A29E1" w:rsidRPr="00793A1A">
        <w:rPr>
          <w:bCs/>
          <w:sz w:val="28"/>
          <w:szCs w:val="28"/>
        </w:rPr>
        <w:t>сельск</w:t>
      </w:r>
      <w:r w:rsidR="001A29E1" w:rsidRPr="00793A1A">
        <w:rPr>
          <w:sz w:val="28"/>
          <w:szCs w:val="28"/>
        </w:rPr>
        <w:t>ого поселения</w:t>
      </w:r>
      <w:r w:rsidRPr="00793A1A">
        <w:rPr>
          <w:color w:val="000000"/>
          <w:sz w:val="28"/>
          <w:szCs w:val="28"/>
        </w:rPr>
        <w:t xml:space="preserve"> является </w:t>
      </w:r>
      <w:r w:rsidR="002A7A06" w:rsidRPr="00793A1A">
        <w:rPr>
          <w:sz w:val="28"/>
          <w:szCs w:val="28"/>
        </w:rPr>
        <w:t>село Татарское Адельшино</w:t>
      </w:r>
      <w:r w:rsidR="001A29E1" w:rsidRPr="00793A1A">
        <w:rPr>
          <w:color w:val="000000"/>
          <w:sz w:val="28"/>
          <w:szCs w:val="28"/>
        </w:rPr>
        <w:t>.</w:t>
      </w:r>
      <w:r w:rsidR="00C2105F" w:rsidRPr="00793A1A">
        <w:rPr>
          <w:color w:val="000000"/>
          <w:sz w:val="28"/>
          <w:szCs w:val="28"/>
        </w:rPr>
        <w:t xml:space="preserve"> В </w:t>
      </w:r>
      <w:r w:rsidR="00C2105F" w:rsidRPr="00793A1A">
        <w:rPr>
          <w:bCs/>
          <w:sz w:val="28"/>
          <w:szCs w:val="28"/>
        </w:rPr>
        <w:t>сельск</w:t>
      </w:r>
      <w:r w:rsidR="00C2105F" w:rsidRPr="00793A1A">
        <w:rPr>
          <w:sz w:val="28"/>
          <w:szCs w:val="28"/>
        </w:rPr>
        <w:t>ое поселение</w:t>
      </w:r>
      <w:r w:rsidR="00C2105F" w:rsidRPr="00793A1A">
        <w:rPr>
          <w:color w:val="000000"/>
          <w:sz w:val="28"/>
          <w:szCs w:val="28"/>
        </w:rPr>
        <w:t xml:space="preserve"> </w:t>
      </w:r>
      <w:r w:rsidR="00C2105F" w:rsidRPr="00793A1A">
        <w:rPr>
          <w:sz w:val="28"/>
          <w:szCs w:val="28"/>
          <w:lang w:eastAsia="ar-SA" w:bidi="en-US"/>
        </w:rPr>
        <w:t xml:space="preserve">входит </w:t>
      </w:r>
      <w:r w:rsidR="002A7A06" w:rsidRPr="00793A1A">
        <w:rPr>
          <w:sz w:val="28"/>
          <w:szCs w:val="28"/>
          <w:lang w:eastAsia="ar-SA" w:bidi="en-US"/>
        </w:rPr>
        <w:t>3</w:t>
      </w:r>
      <w:r w:rsidR="00C2105F" w:rsidRPr="00793A1A">
        <w:rPr>
          <w:sz w:val="28"/>
          <w:szCs w:val="28"/>
          <w:lang w:eastAsia="ar-SA" w:bidi="en-US"/>
        </w:rPr>
        <w:t xml:space="preserve"> населенны</w:t>
      </w:r>
      <w:r w:rsidR="002A7A06" w:rsidRPr="00793A1A">
        <w:rPr>
          <w:sz w:val="28"/>
          <w:szCs w:val="28"/>
          <w:lang w:eastAsia="ar-SA" w:bidi="en-US"/>
        </w:rPr>
        <w:t>х</w:t>
      </w:r>
      <w:r w:rsidR="00C2105F" w:rsidRPr="00793A1A">
        <w:rPr>
          <w:sz w:val="28"/>
          <w:szCs w:val="28"/>
          <w:lang w:eastAsia="ar-SA" w:bidi="en-US"/>
        </w:rPr>
        <w:t xml:space="preserve"> пункт</w:t>
      </w:r>
      <w:r w:rsidR="002A7A06" w:rsidRPr="00793A1A">
        <w:rPr>
          <w:sz w:val="28"/>
          <w:szCs w:val="28"/>
          <w:lang w:eastAsia="ar-SA" w:bidi="en-US"/>
        </w:rPr>
        <w:t>а</w:t>
      </w:r>
      <w:r w:rsidR="00C2105F" w:rsidRPr="00793A1A">
        <w:rPr>
          <w:color w:val="000000"/>
          <w:sz w:val="28"/>
          <w:szCs w:val="28"/>
        </w:rPr>
        <w:t>.</w:t>
      </w:r>
      <w:r w:rsidR="00886B4F" w:rsidRPr="00564B51">
        <w:rPr>
          <w:color w:val="000000"/>
          <w:sz w:val="28"/>
          <w:szCs w:val="28"/>
        </w:rPr>
        <w:t xml:space="preserve"> </w:t>
      </w:r>
    </w:p>
    <w:p w14:paraId="7C23E45F" w14:textId="2360C35E"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B92BFA" w:rsidRPr="00564B51">
        <w:rPr>
          <w:sz w:val="28"/>
          <w:szCs w:val="28"/>
        </w:rPr>
        <w:t>Адельшинского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5D0EDB74"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B92BFA" w:rsidRPr="00564B51">
        <w:rPr>
          <w:sz w:val="28"/>
          <w:szCs w:val="28"/>
          <w:lang w:eastAsia="ar-SA" w:bidi="en-US"/>
        </w:rPr>
        <w:t>Адельшинско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7AB48460"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B92BFA" w:rsidRPr="00564B51">
        <w:rPr>
          <w:sz w:val="28"/>
          <w:szCs w:val="28"/>
          <w:lang w:eastAsia="ar-SA" w:bidi="en-US"/>
        </w:rPr>
        <w:t>Адельшинского СП</w:t>
      </w:r>
      <w:r w:rsidRPr="00564B51">
        <w:rPr>
          <w:sz w:val="28"/>
          <w:szCs w:val="28"/>
        </w:rPr>
        <w:t>.</w:t>
      </w:r>
    </w:p>
    <w:p w14:paraId="669A05DE" w14:textId="1EFB3F65"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B92BFA" w:rsidRPr="00564B51">
        <w:rPr>
          <w:sz w:val="28"/>
          <w:szCs w:val="28"/>
          <w:lang w:eastAsia="ar-SA" w:bidi="en-US"/>
        </w:rPr>
        <w:t>Адельшинского СП</w:t>
      </w:r>
      <w:r w:rsidRPr="00564B51">
        <w:rPr>
          <w:sz w:val="28"/>
          <w:szCs w:val="28"/>
        </w:rPr>
        <w:t>.</w:t>
      </w:r>
    </w:p>
    <w:p w14:paraId="37AE857B" w14:textId="51C366CD"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Pr="00564B51">
        <w:rPr>
          <w:sz w:val="28"/>
          <w:szCs w:val="28"/>
          <w:lang w:eastAsia="ar-SA" w:bidi="en-US"/>
        </w:rPr>
        <w:t xml:space="preserve">Адельшинского СП до 2030 года и </w:t>
      </w:r>
      <w:r w:rsidRPr="00564B51">
        <w:rPr>
          <w:sz w:val="28"/>
          <w:szCs w:val="28"/>
        </w:rPr>
        <w:t>м</w:t>
      </w:r>
      <w:r w:rsidR="00D42A39" w:rsidRPr="00564B51">
        <w:rPr>
          <w:sz w:val="28"/>
          <w:szCs w:val="28"/>
        </w:rPr>
        <w:t xml:space="preserve">униципальные программы </w:t>
      </w:r>
      <w:r w:rsidR="00B92BFA" w:rsidRPr="00564B51">
        <w:rPr>
          <w:sz w:val="28"/>
          <w:szCs w:val="28"/>
        </w:rPr>
        <w:t>Адельшинского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в статье 14 Федерального закона от 06.10.2003 № 131-ФЗ «Об общих принципах организации местного самоуправления в Российской Федерации» и в 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w:t>
      </w:r>
      <w:r w:rsidR="00625494" w:rsidRPr="00564B51">
        <w:rPr>
          <w:sz w:val="28"/>
          <w:szCs w:val="28"/>
        </w:rPr>
        <w:lastRenderedPageBreak/>
        <w:t xml:space="preserve">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5B3F8E60"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B92BFA" w:rsidRPr="00564B51">
        <w:rPr>
          <w:sz w:val="28"/>
          <w:szCs w:val="28"/>
        </w:rPr>
        <w:t>Адельшинского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«Адельшинское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64B3D8B7"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B92BFA" w:rsidRPr="00564B51">
        <w:rPr>
          <w:sz w:val="28"/>
          <w:szCs w:val="28"/>
        </w:rPr>
        <w:t>Адельшинского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5F284E9F"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B92BFA" w:rsidRPr="00564B51">
        <w:rPr>
          <w:sz w:val="28"/>
          <w:szCs w:val="28"/>
        </w:rPr>
        <w:t>Адельшинского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150C495A"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B92BFA" w:rsidRPr="00564B51">
        <w:rPr>
          <w:sz w:val="28"/>
          <w:szCs w:val="28"/>
        </w:rPr>
        <w:t>Адельшинского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4F4E23C6"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B92BFA" w:rsidRPr="00564B51">
        <w:rPr>
          <w:sz w:val="28"/>
          <w:szCs w:val="28"/>
        </w:rPr>
        <w:t>Адельшинского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могут устанавливать 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lastRenderedPageBreak/>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6"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4BB8B4C8"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B92BFA" w:rsidRPr="00564B51">
              <w:t>Адельшинского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7" w:history="1">
              <w:r w:rsidR="00DB5F67" w:rsidRPr="00564B51">
                <w:rPr>
                  <w:color w:val="2D2D2D"/>
                </w:rPr>
                <w:t>приказом Министерством спорта Российской Федерации от 21.03.2018 № 244</w:t>
              </w:r>
            </w:hyperlink>
            <w:r w:rsidRPr="00564B51">
              <w:t>.</w:t>
            </w:r>
          </w:p>
          <w:p w14:paraId="02BEB6A9" w14:textId="062C0AAE"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B92BFA" w:rsidRPr="00564B51">
              <w:t>Адельшинского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506F8B53"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B92BFA" w:rsidRPr="00564B51">
              <w:t>Адельшинского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5CA08750"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B92BFA" w:rsidRPr="00564B51">
        <w:rPr>
          <w:sz w:val="28"/>
          <w:szCs w:val="28"/>
        </w:rPr>
        <w:t>Адельшинского СП</w:t>
      </w:r>
      <w:r w:rsidRPr="00564B51">
        <w:rPr>
          <w:sz w:val="28"/>
          <w:szCs w:val="28"/>
        </w:rPr>
        <w:t xml:space="preserve"> на правоотношения, возникшие после вступления в силу местных нормативов.</w:t>
      </w:r>
    </w:p>
    <w:p w14:paraId="10BA7056" w14:textId="1BAAF5B4"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B92BFA" w:rsidRPr="00564B51">
        <w:rPr>
          <w:sz w:val="28"/>
          <w:szCs w:val="28"/>
        </w:rPr>
        <w:t>Адельшинского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5F23B494"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B92BFA" w:rsidRPr="00564B51">
        <w:rPr>
          <w:sz w:val="28"/>
          <w:szCs w:val="28"/>
        </w:rPr>
        <w:t>Адельшинского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1BD0A92B"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B92BFA" w:rsidRPr="00564B51">
        <w:rPr>
          <w:sz w:val="28"/>
          <w:szCs w:val="28"/>
        </w:rPr>
        <w:t>Адельшинского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44C61F9D"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B92BFA" w:rsidRPr="00564B51">
        <w:rPr>
          <w:sz w:val="28"/>
          <w:szCs w:val="28"/>
        </w:rPr>
        <w:t>Адельшинского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439AD4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B92BFA" w:rsidRPr="00564B51">
        <w:rPr>
          <w:sz w:val="28"/>
          <w:szCs w:val="28"/>
        </w:rPr>
        <w:t>Адельшинского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7620D84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B92BFA" w:rsidRPr="00564B51">
        <w:rPr>
          <w:sz w:val="28"/>
          <w:szCs w:val="28"/>
        </w:rPr>
        <w:t>Адельшинского СП</w:t>
      </w:r>
      <w:r w:rsidRPr="00564B51">
        <w:rPr>
          <w:sz w:val="28"/>
          <w:szCs w:val="28"/>
        </w:rPr>
        <w:t xml:space="preserve">; </w:t>
      </w:r>
    </w:p>
    <w:p w14:paraId="71390A48" w14:textId="3B57312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B92BFA" w:rsidRPr="00564B51">
        <w:rPr>
          <w:sz w:val="28"/>
          <w:szCs w:val="28"/>
        </w:rPr>
        <w:t>Адельшинского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3AAA3B23"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B92BFA" w:rsidRPr="00564B51">
        <w:rPr>
          <w:sz w:val="28"/>
          <w:szCs w:val="28"/>
        </w:rPr>
        <w:t>Адельшинского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w:t>
      </w:r>
      <w:r w:rsidRPr="00564B51">
        <w:rPr>
          <w:sz w:val="28"/>
          <w:szCs w:val="28"/>
        </w:rPr>
        <w:lastRenderedPageBreak/>
        <w:t>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10524EC1" w:rsidR="006635D6" w:rsidRPr="00564B51" w:rsidRDefault="00C14D37" w:rsidP="006635D6">
      <w:pPr>
        <w:pStyle w:val="af2"/>
        <w:jc w:val="right"/>
        <w:outlineLvl w:val="9"/>
        <w:rPr>
          <w:b w:val="0"/>
          <w:color w:val="auto"/>
          <w:sz w:val="28"/>
          <w:szCs w:val="28"/>
        </w:rPr>
      </w:pPr>
      <w:r w:rsidRPr="00564B51">
        <w:rPr>
          <w:b w:val="0"/>
          <w:color w:val="auto"/>
          <w:sz w:val="28"/>
          <w:szCs w:val="28"/>
        </w:rPr>
        <w:t>Адельшинского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8"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19"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0"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1"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3BEDC29A"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A25A43" w:rsidRPr="00564B51">
        <w:rPr>
          <w:b w:val="0"/>
          <w:bCs/>
          <w:sz w:val="28"/>
          <w:szCs w:val="28"/>
        </w:rPr>
        <w:t>Адельшинского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1C922740"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«Адельшинское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2"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3"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6AFE1EE7" w:rsidR="005E602C" w:rsidRPr="00564B51" w:rsidRDefault="005E602C" w:rsidP="005E602C">
      <w:pPr>
        <w:pStyle w:val="af2"/>
        <w:jc w:val="right"/>
        <w:outlineLvl w:val="9"/>
        <w:rPr>
          <w:b w:val="0"/>
          <w:color w:val="auto"/>
          <w:sz w:val="28"/>
          <w:szCs w:val="28"/>
        </w:rPr>
      </w:pPr>
      <w:r w:rsidRPr="00564B51">
        <w:rPr>
          <w:b w:val="0"/>
          <w:color w:val="auto"/>
          <w:sz w:val="28"/>
          <w:szCs w:val="28"/>
        </w:rPr>
        <w:t>Адельшинского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73882B8F"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0629A7" w:rsidRPr="00564B51">
        <w:rPr>
          <w:bCs/>
          <w:sz w:val="28"/>
          <w:szCs w:val="28"/>
        </w:rPr>
        <w:t>Адельшинского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5E94E243" w:rsidR="005E602C" w:rsidRPr="00564B51" w:rsidRDefault="005E602C" w:rsidP="005E602C">
      <w:pPr>
        <w:pStyle w:val="af2"/>
        <w:jc w:val="right"/>
        <w:outlineLvl w:val="9"/>
        <w:rPr>
          <w:b w:val="0"/>
          <w:color w:val="auto"/>
          <w:sz w:val="28"/>
          <w:szCs w:val="28"/>
        </w:rPr>
      </w:pPr>
      <w:r w:rsidRPr="00564B51">
        <w:rPr>
          <w:b w:val="0"/>
          <w:color w:val="auto"/>
          <w:sz w:val="28"/>
          <w:szCs w:val="28"/>
        </w:rPr>
        <w:t>Адельшинского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59698904"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Pr="005E602C">
        <w:rPr>
          <w:b/>
          <w:bCs/>
          <w:sz w:val="28"/>
          <w:szCs w:val="28"/>
        </w:rPr>
        <w:t>Адельшинского сельского поселения</w:t>
      </w:r>
      <w:r w:rsidRPr="00024AFC">
        <w:rPr>
          <w:b/>
          <w:bCs/>
          <w:sz w:val="28"/>
          <w:szCs w:val="28"/>
        </w:rPr>
        <w:t xml:space="preserve"> Чистопольского муниципального района за 2021 год</w:t>
      </w:r>
    </w:p>
    <w:p w14:paraId="28DE453F" w14:textId="77777777" w:rsidR="00A50247" w:rsidRPr="0054656A" w:rsidRDefault="00A50247" w:rsidP="00A50247">
      <w:pPr>
        <w:jc w:val="center"/>
        <w:rPr>
          <w:color w:val="000000"/>
        </w:rPr>
      </w:pPr>
      <w:r w:rsidRPr="0054656A">
        <w:rPr>
          <w:color w:val="000000"/>
        </w:rPr>
        <w:t>Розничная торговля и общественное питание</w:t>
      </w:r>
    </w:p>
    <w:tbl>
      <w:tblPr>
        <w:tblW w:w="987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97"/>
        <w:gridCol w:w="1200"/>
      </w:tblGrid>
      <w:tr w:rsidR="00A50247" w:rsidRPr="0054656A" w14:paraId="68F1250D"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134F82" w14:textId="77777777" w:rsidR="00A50247" w:rsidRPr="0054656A" w:rsidRDefault="00A50247" w:rsidP="00C630F0">
            <w:pPr>
              <w:jc w:val="center"/>
            </w:pPr>
            <w:r w:rsidRPr="0054656A">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DE3552" w14:textId="77777777" w:rsidR="00A50247" w:rsidRPr="0054656A" w:rsidRDefault="00A50247" w:rsidP="00C630F0">
            <w:pPr>
              <w:jc w:val="center"/>
            </w:pPr>
            <w:r w:rsidRPr="0054656A">
              <w:t>Ед. измерения</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B077D0" w14:textId="77777777" w:rsidR="00A50247" w:rsidRPr="0054656A" w:rsidRDefault="00A50247" w:rsidP="00C630F0">
            <w:pPr>
              <w:jc w:val="center"/>
            </w:pPr>
            <w:r w:rsidRPr="00DD2906">
              <w:t>Значение</w:t>
            </w:r>
          </w:p>
        </w:tc>
      </w:tr>
      <w:tr w:rsidR="00A50247" w:rsidRPr="0054656A" w14:paraId="5340421A"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27504C" w14:textId="77777777" w:rsidR="00A50247" w:rsidRPr="0054656A" w:rsidRDefault="00A50247" w:rsidP="00C630F0">
            <w:r w:rsidRPr="0054656A">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402EA8" w14:textId="77777777" w:rsidR="00A50247" w:rsidRPr="0054656A" w:rsidRDefault="00A50247" w:rsidP="00C630F0"/>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4A9B9B" w14:textId="77777777" w:rsidR="00A50247" w:rsidRPr="0054656A" w:rsidRDefault="00A50247" w:rsidP="00C630F0">
            <w:pPr>
              <w:jc w:val="center"/>
              <w:rPr>
                <w:sz w:val="20"/>
                <w:szCs w:val="20"/>
              </w:rPr>
            </w:pPr>
          </w:p>
        </w:tc>
      </w:tr>
      <w:tr w:rsidR="00A50247" w:rsidRPr="0054656A" w14:paraId="1C768912"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334D382" w14:textId="77777777" w:rsidR="00A50247" w:rsidRPr="0054656A" w:rsidRDefault="00A50247" w:rsidP="00C630F0">
            <w:r w:rsidRPr="0054656A">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A309ED" w14:textId="77777777" w:rsidR="00A50247" w:rsidRPr="0054656A" w:rsidRDefault="00A50247" w:rsidP="00C630F0">
            <w:pPr>
              <w:jc w:val="center"/>
            </w:pPr>
            <w:r w:rsidRPr="0054656A">
              <w:t>единица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C0B1ED" w14:textId="77777777" w:rsidR="00A50247" w:rsidRPr="0054656A" w:rsidRDefault="00A50247" w:rsidP="00C630F0">
            <w:pPr>
              <w:jc w:val="center"/>
            </w:pPr>
            <w:r w:rsidRPr="0054656A">
              <w:t>1</w:t>
            </w:r>
          </w:p>
        </w:tc>
      </w:tr>
      <w:tr w:rsidR="00A50247" w:rsidRPr="0054656A" w14:paraId="3E0029DA"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A754551" w14:textId="77777777" w:rsidR="00A50247" w:rsidRPr="0054656A" w:rsidRDefault="00A50247" w:rsidP="00C630F0">
            <w:r w:rsidRPr="0054656A">
              <w:t>павильоны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F0FCBB" w14:textId="77777777" w:rsidR="00A50247" w:rsidRPr="0054656A" w:rsidRDefault="00A50247" w:rsidP="00C630F0">
            <w:pPr>
              <w:jc w:val="center"/>
            </w:pPr>
            <w:r w:rsidRPr="0054656A">
              <w:t>единица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1C76A3" w14:textId="77777777" w:rsidR="00A50247" w:rsidRPr="0054656A" w:rsidRDefault="00A50247" w:rsidP="00C630F0">
            <w:pPr>
              <w:jc w:val="center"/>
            </w:pPr>
            <w:r w:rsidRPr="0054656A">
              <w:t>1</w:t>
            </w:r>
          </w:p>
        </w:tc>
      </w:tr>
      <w:tr w:rsidR="00A50247" w:rsidRPr="0054656A" w14:paraId="719D58F1"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752538F" w14:textId="77777777" w:rsidR="00A50247" w:rsidRPr="0054656A" w:rsidRDefault="00A50247" w:rsidP="00C630F0">
            <w:r w:rsidRPr="0054656A">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5C53BE" w14:textId="77777777" w:rsidR="00A50247" w:rsidRPr="0054656A" w:rsidRDefault="00A50247" w:rsidP="00C630F0">
            <w:pPr>
              <w:jc w:val="center"/>
            </w:pPr>
            <w:r w:rsidRPr="0054656A">
              <w:t>единица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055BBE" w14:textId="77777777" w:rsidR="00A50247" w:rsidRPr="0054656A" w:rsidRDefault="00A50247" w:rsidP="00C630F0">
            <w:pPr>
              <w:jc w:val="center"/>
            </w:pPr>
            <w:r w:rsidRPr="0054656A">
              <w:t>1</w:t>
            </w:r>
          </w:p>
        </w:tc>
      </w:tr>
      <w:tr w:rsidR="00A50247" w:rsidRPr="0054656A" w14:paraId="6FD36C1A"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C6A1C59" w14:textId="77777777" w:rsidR="00A50247" w:rsidRPr="0054656A" w:rsidRDefault="00A50247" w:rsidP="00C630F0">
            <w:r w:rsidRPr="0054656A">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CE537B" w14:textId="77777777" w:rsidR="00A50247" w:rsidRPr="0054656A" w:rsidRDefault="00A50247" w:rsidP="00C630F0">
            <w:pPr>
              <w:jc w:val="center"/>
            </w:pPr>
            <w:r w:rsidRPr="0054656A">
              <w:t>единица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6564A8" w14:textId="77777777" w:rsidR="00A50247" w:rsidRPr="0054656A" w:rsidRDefault="00A50247" w:rsidP="00C630F0">
            <w:pPr>
              <w:jc w:val="center"/>
            </w:pPr>
            <w:r w:rsidRPr="0054656A">
              <w:t>1</w:t>
            </w:r>
          </w:p>
        </w:tc>
      </w:tr>
      <w:tr w:rsidR="00A50247" w:rsidRPr="0054656A" w14:paraId="0EE570B9"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E71104" w14:textId="77777777" w:rsidR="00A50247" w:rsidRPr="0054656A" w:rsidRDefault="00A50247" w:rsidP="00C630F0">
            <w:r w:rsidRPr="0054656A">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848BC2" w14:textId="77777777" w:rsidR="00A50247" w:rsidRPr="0054656A" w:rsidRDefault="00A50247" w:rsidP="00C630F0"/>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F2925A" w14:textId="77777777" w:rsidR="00A50247" w:rsidRPr="0054656A" w:rsidRDefault="00A50247" w:rsidP="00C630F0">
            <w:pPr>
              <w:jc w:val="center"/>
              <w:rPr>
                <w:sz w:val="20"/>
                <w:szCs w:val="20"/>
              </w:rPr>
            </w:pPr>
          </w:p>
        </w:tc>
      </w:tr>
      <w:tr w:rsidR="00A50247" w:rsidRPr="0054656A" w14:paraId="58C4F53F"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221D83" w14:textId="77777777" w:rsidR="00A50247" w:rsidRPr="0054656A" w:rsidRDefault="00A50247" w:rsidP="00C630F0">
            <w:r w:rsidRPr="0054656A">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D2D5D3" w14:textId="77777777" w:rsidR="00A50247" w:rsidRPr="0054656A" w:rsidRDefault="00A50247" w:rsidP="00C630F0">
            <w:pPr>
              <w:jc w:val="center"/>
            </w:pPr>
            <w:r w:rsidRPr="00DD2906">
              <w:t>кв. метр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61D213" w14:textId="77777777" w:rsidR="00A50247" w:rsidRPr="0054656A" w:rsidRDefault="00A50247" w:rsidP="00C630F0">
            <w:pPr>
              <w:jc w:val="center"/>
            </w:pPr>
            <w:r w:rsidRPr="0054656A">
              <w:t>15</w:t>
            </w:r>
          </w:p>
        </w:tc>
      </w:tr>
      <w:tr w:rsidR="00A50247" w:rsidRPr="0054656A" w14:paraId="0AC2F6EB"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70163A1" w14:textId="77777777" w:rsidR="00A50247" w:rsidRPr="0054656A" w:rsidRDefault="00A50247" w:rsidP="00C630F0">
            <w:r w:rsidRPr="0054656A">
              <w:t>павильоны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57E6FD" w14:textId="77777777" w:rsidR="00A50247" w:rsidRPr="0054656A" w:rsidRDefault="00A50247" w:rsidP="00C630F0">
            <w:pPr>
              <w:jc w:val="center"/>
            </w:pPr>
            <w:r w:rsidRPr="00DD2906">
              <w:t>кв. метр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454708" w14:textId="77777777" w:rsidR="00A50247" w:rsidRPr="0054656A" w:rsidRDefault="00A50247" w:rsidP="00C630F0">
            <w:pPr>
              <w:jc w:val="center"/>
            </w:pPr>
            <w:r w:rsidRPr="0054656A">
              <w:t>16</w:t>
            </w:r>
          </w:p>
        </w:tc>
      </w:tr>
      <w:tr w:rsidR="00A50247" w:rsidRPr="0054656A" w14:paraId="52F52401"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4875642" w14:textId="77777777" w:rsidR="00A50247" w:rsidRPr="0054656A" w:rsidRDefault="00A50247" w:rsidP="00C630F0">
            <w:r w:rsidRPr="0054656A">
              <w:t>прочие 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05075C" w14:textId="77777777" w:rsidR="00A50247" w:rsidRPr="0054656A" w:rsidRDefault="00A50247" w:rsidP="00C630F0">
            <w:pPr>
              <w:jc w:val="center"/>
            </w:pPr>
            <w:r w:rsidRPr="00DD2906">
              <w:t>кв. метр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F7FEC1" w14:textId="77777777" w:rsidR="00A50247" w:rsidRPr="0054656A" w:rsidRDefault="00A50247" w:rsidP="00C630F0">
            <w:pPr>
              <w:jc w:val="center"/>
            </w:pPr>
            <w:r w:rsidRPr="0054656A">
              <w:t>15</w:t>
            </w:r>
          </w:p>
        </w:tc>
      </w:tr>
      <w:tr w:rsidR="00A50247" w:rsidRPr="0054656A" w14:paraId="1A604A5A"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7317CD" w14:textId="77777777" w:rsidR="00A50247" w:rsidRPr="0054656A" w:rsidRDefault="00A50247" w:rsidP="00C630F0">
            <w:r w:rsidRPr="0054656A">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64DA5B" w14:textId="77777777" w:rsidR="00A50247" w:rsidRPr="0054656A" w:rsidRDefault="00A50247" w:rsidP="00C630F0"/>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19A874" w14:textId="77777777" w:rsidR="00A50247" w:rsidRPr="0054656A" w:rsidRDefault="00A50247" w:rsidP="00C630F0">
            <w:pPr>
              <w:jc w:val="center"/>
              <w:rPr>
                <w:sz w:val="20"/>
                <w:szCs w:val="20"/>
              </w:rPr>
            </w:pPr>
          </w:p>
        </w:tc>
      </w:tr>
      <w:tr w:rsidR="00A50247" w:rsidRPr="0054656A" w14:paraId="1C930DB9"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B111ADC" w14:textId="77777777" w:rsidR="00A50247" w:rsidRPr="0054656A" w:rsidRDefault="00A50247" w:rsidP="00C630F0">
            <w:r w:rsidRPr="0054656A">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4064A7" w14:textId="77777777" w:rsidR="00A50247" w:rsidRPr="0054656A" w:rsidRDefault="00A50247" w:rsidP="00C630F0">
            <w:pPr>
              <w:jc w:val="center"/>
            </w:pPr>
            <w:r w:rsidRPr="00DD2906">
              <w:t>кв. метр</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6248E2" w14:textId="77777777" w:rsidR="00A50247" w:rsidRPr="0054656A" w:rsidRDefault="00A50247" w:rsidP="00C630F0">
            <w:pPr>
              <w:jc w:val="center"/>
            </w:pPr>
            <w:r w:rsidRPr="0054656A">
              <w:t>25</w:t>
            </w:r>
          </w:p>
        </w:tc>
      </w:tr>
      <w:tr w:rsidR="00A50247" w:rsidRPr="0054656A" w14:paraId="7371C050"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82435B" w14:textId="77777777" w:rsidR="00A50247" w:rsidRPr="0054656A" w:rsidRDefault="00A50247" w:rsidP="00C630F0">
            <w:r w:rsidRPr="0054656A">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5EC909" w14:textId="77777777" w:rsidR="00A50247" w:rsidRPr="0054656A" w:rsidRDefault="00A50247" w:rsidP="00C630F0"/>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5322FB" w14:textId="77777777" w:rsidR="00A50247" w:rsidRPr="0054656A" w:rsidRDefault="00A50247" w:rsidP="00C630F0">
            <w:pPr>
              <w:jc w:val="center"/>
              <w:rPr>
                <w:sz w:val="20"/>
                <w:szCs w:val="20"/>
              </w:rPr>
            </w:pPr>
          </w:p>
        </w:tc>
      </w:tr>
      <w:tr w:rsidR="00A50247" w:rsidRPr="0054656A" w14:paraId="07470D13"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DEBA1B0" w14:textId="77777777" w:rsidR="00A50247" w:rsidRPr="0054656A" w:rsidRDefault="00A50247" w:rsidP="00C630F0">
            <w:r w:rsidRPr="0054656A">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A6DB0C" w14:textId="77777777" w:rsidR="00A50247" w:rsidRPr="0054656A" w:rsidRDefault="00A50247" w:rsidP="00C630F0">
            <w:pPr>
              <w:jc w:val="center"/>
            </w:pPr>
            <w:r w:rsidRPr="0054656A">
              <w:t>место</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2E0372" w14:textId="77777777" w:rsidR="00A50247" w:rsidRPr="0054656A" w:rsidRDefault="00A50247" w:rsidP="00C630F0">
            <w:pPr>
              <w:jc w:val="center"/>
            </w:pPr>
            <w:r w:rsidRPr="0054656A">
              <w:t>40</w:t>
            </w:r>
          </w:p>
        </w:tc>
      </w:tr>
    </w:tbl>
    <w:p w14:paraId="4BCD5184" w14:textId="77777777" w:rsidR="00A50247" w:rsidRPr="0054656A" w:rsidRDefault="00A50247" w:rsidP="00A50247"/>
    <w:p w14:paraId="1EBD16F6" w14:textId="77777777" w:rsidR="00A50247" w:rsidRPr="0054656A" w:rsidRDefault="00A50247" w:rsidP="00A50247">
      <w:pPr>
        <w:jc w:val="center"/>
        <w:rPr>
          <w:color w:val="000000"/>
        </w:rPr>
      </w:pPr>
      <w:r w:rsidRPr="0054656A">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A50247" w:rsidRPr="0054656A" w14:paraId="62FCC2A6"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26A552" w14:textId="77777777" w:rsidR="00A50247" w:rsidRPr="0054656A" w:rsidRDefault="00A50247" w:rsidP="00C630F0">
            <w:pPr>
              <w:jc w:val="center"/>
            </w:pPr>
            <w:r w:rsidRPr="0054656A">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A11F59" w14:textId="77777777" w:rsidR="00A50247" w:rsidRPr="0054656A" w:rsidRDefault="00A50247" w:rsidP="00C630F0">
            <w:pPr>
              <w:jc w:val="center"/>
            </w:pPr>
            <w:r w:rsidRPr="0054656A">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3C43AB" w14:textId="77777777" w:rsidR="00A50247" w:rsidRPr="0054656A" w:rsidRDefault="00A50247" w:rsidP="00C630F0">
            <w:pPr>
              <w:jc w:val="center"/>
            </w:pPr>
            <w:r w:rsidRPr="00DD2906">
              <w:t>Значение</w:t>
            </w:r>
          </w:p>
        </w:tc>
      </w:tr>
      <w:tr w:rsidR="00A50247" w:rsidRPr="0054656A" w14:paraId="59292114"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C44335" w14:textId="77777777" w:rsidR="00A50247" w:rsidRPr="0054656A" w:rsidRDefault="00A50247" w:rsidP="00C630F0">
            <w:r w:rsidRPr="0054656A">
              <w:t>Число спортивных сооружений - 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53071F" w14:textId="77777777" w:rsidR="00A50247" w:rsidRPr="0054656A" w:rsidRDefault="00A50247"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44F2F2" w14:textId="77777777" w:rsidR="00A50247" w:rsidRPr="0054656A" w:rsidRDefault="00A50247" w:rsidP="00C630F0">
            <w:pPr>
              <w:jc w:val="center"/>
              <w:rPr>
                <w:sz w:val="20"/>
                <w:szCs w:val="20"/>
              </w:rPr>
            </w:pPr>
          </w:p>
        </w:tc>
      </w:tr>
      <w:tr w:rsidR="00A50247" w:rsidRPr="0054656A" w14:paraId="213AF531"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9E6DD27" w14:textId="77777777" w:rsidR="00A50247" w:rsidRPr="0054656A" w:rsidRDefault="00A50247" w:rsidP="00C630F0">
            <w:r w:rsidRPr="0054656A">
              <w:t>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BECF53" w14:textId="77777777" w:rsidR="00A50247" w:rsidRPr="0054656A" w:rsidRDefault="00A50247" w:rsidP="00C630F0">
            <w:pPr>
              <w:jc w:val="center"/>
            </w:pPr>
            <w:r w:rsidRPr="0054656A">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2478CB" w14:textId="77777777" w:rsidR="00A50247" w:rsidRPr="0054656A" w:rsidRDefault="00A50247" w:rsidP="00C630F0">
            <w:pPr>
              <w:jc w:val="center"/>
            </w:pPr>
            <w:r w:rsidRPr="0054656A">
              <w:t>3</w:t>
            </w:r>
          </w:p>
        </w:tc>
      </w:tr>
      <w:tr w:rsidR="00A50247" w:rsidRPr="0054656A" w14:paraId="2633916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DDD0C6D" w14:textId="77777777" w:rsidR="00A50247" w:rsidRPr="0054656A" w:rsidRDefault="00A50247" w:rsidP="00C630F0">
            <w:r w:rsidRPr="0054656A">
              <w:t>плоскостные 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329135" w14:textId="77777777" w:rsidR="00A50247" w:rsidRPr="0054656A" w:rsidRDefault="00A50247" w:rsidP="00C630F0">
            <w:pPr>
              <w:jc w:val="center"/>
            </w:pPr>
            <w:r w:rsidRPr="0054656A">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F96F67" w14:textId="77777777" w:rsidR="00A50247" w:rsidRPr="0054656A" w:rsidRDefault="00A50247" w:rsidP="00C630F0">
            <w:pPr>
              <w:jc w:val="center"/>
            </w:pPr>
            <w:r w:rsidRPr="0054656A">
              <w:t>1</w:t>
            </w:r>
          </w:p>
        </w:tc>
      </w:tr>
      <w:tr w:rsidR="00A50247" w:rsidRPr="0054656A" w14:paraId="2C7B7214"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35D9467" w14:textId="77777777" w:rsidR="00A50247" w:rsidRPr="0054656A" w:rsidRDefault="00A50247" w:rsidP="00C630F0">
            <w:r w:rsidRPr="0054656A">
              <w:t>спортивные залы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12FC8C" w14:textId="77777777" w:rsidR="00A50247" w:rsidRPr="0054656A" w:rsidRDefault="00A50247" w:rsidP="00C630F0">
            <w:pPr>
              <w:jc w:val="center"/>
            </w:pPr>
            <w:r w:rsidRPr="0054656A">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6F6B7C" w14:textId="77777777" w:rsidR="00A50247" w:rsidRPr="0054656A" w:rsidRDefault="00A50247" w:rsidP="00C630F0">
            <w:pPr>
              <w:jc w:val="center"/>
            </w:pPr>
            <w:r w:rsidRPr="0054656A">
              <w:t>1</w:t>
            </w:r>
          </w:p>
        </w:tc>
      </w:tr>
      <w:tr w:rsidR="00A50247" w:rsidRPr="0054656A" w14:paraId="0B4431A8"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D430D3" w14:textId="77777777" w:rsidR="00A50247" w:rsidRPr="0054656A" w:rsidRDefault="00A50247" w:rsidP="00C630F0">
            <w:r w:rsidRPr="0054656A">
              <w:t>Число муниципальных спортивных сооружений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61D409" w14:textId="77777777" w:rsidR="00A50247" w:rsidRPr="0054656A" w:rsidRDefault="00A50247"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103EC0" w14:textId="77777777" w:rsidR="00A50247" w:rsidRPr="0054656A" w:rsidRDefault="00A50247" w:rsidP="00C630F0">
            <w:pPr>
              <w:jc w:val="center"/>
              <w:rPr>
                <w:sz w:val="20"/>
                <w:szCs w:val="20"/>
              </w:rPr>
            </w:pPr>
          </w:p>
        </w:tc>
      </w:tr>
      <w:tr w:rsidR="00A50247" w:rsidRPr="0054656A" w14:paraId="0F9E3263"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31AEB4" w14:textId="77777777" w:rsidR="00A50247" w:rsidRPr="0054656A" w:rsidRDefault="00A50247" w:rsidP="00C630F0">
            <w:r w:rsidRPr="0054656A">
              <w:t>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0823D4" w14:textId="77777777" w:rsidR="00A50247" w:rsidRPr="0054656A" w:rsidRDefault="00A50247" w:rsidP="00C630F0">
            <w:pPr>
              <w:jc w:val="center"/>
            </w:pPr>
            <w:r w:rsidRPr="0054656A">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536031" w14:textId="77777777" w:rsidR="00A50247" w:rsidRPr="0054656A" w:rsidRDefault="00A50247" w:rsidP="00C630F0">
            <w:pPr>
              <w:jc w:val="center"/>
            </w:pPr>
            <w:r w:rsidRPr="0054656A">
              <w:t>3</w:t>
            </w:r>
          </w:p>
        </w:tc>
      </w:tr>
      <w:tr w:rsidR="00A50247" w:rsidRPr="0054656A" w14:paraId="308955D7"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2FFB9BC" w14:textId="77777777" w:rsidR="00A50247" w:rsidRPr="0054656A" w:rsidRDefault="00A50247" w:rsidP="00C630F0">
            <w:r w:rsidRPr="0054656A">
              <w:t>плоскостные 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853CDB" w14:textId="77777777" w:rsidR="00A50247" w:rsidRPr="0054656A" w:rsidRDefault="00A50247" w:rsidP="00C630F0">
            <w:pPr>
              <w:jc w:val="center"/>
            </w:pPr>
            <w:r w:rsidRPr="0054656A">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7C9C69" w14:textId="77777777" w:rsidR="00A50247" w:rsidRPr="0054656A" w:rsidRDefault="00A50247" w:rsidP="00C630F0">
            <w:pPr>
              <w:jc w:val="center"/>
            </w:pPr>
            <w:r w:rsidRPr="0054656A">
              <w:t>1</w:t>
            </w:r>
          </w:p>
        </w:tc>
      </w:tr>
      <w:tr w:rsidR="00A50247" w:rsidRPr="0054656A" w14:paraId="33EE8238"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FAEEFF3" w14:textId="77777777" w:rsidR="00A50247" w:rsidRPr="0054656A" w:rsidRDefault="00A50247" w:rsidP="00C630F0">
            <w:r w:rsidRPr="0054656A">
              <w:t>спортивные залы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3804C3" w14:textId="77777777" w:rsidR="00A50247" w:rsidRPr="0054656A" w:rsidRDefault="00A50247" w:rsidP="00C630F0">
            <w:pPr>
              <w:jc w:val="center"/>
            </w:pPr>
            <w:r w:rsidRPr="0054656A">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1B6B42" w14:textId="77777777" w:rsidR="00A50247" w:rsidRPr="0054656A" w:rsidRDefault="00A50247" w:rsidP="00C630F0">
            <w:pPr>
              <w:jc w:val="center"/>
            </w:pPr>
            <w:r w:rsidRPr="0054656A">
              <w:t>1</w:t>
            </w:r>
          </w:p>
        </w:tc>
      </w:tr>
    </w:tbl>
    <w:p w14:paraId="60065D82" w14:textId="77777777" w:rsidR="00A50247" w:rsidRPr="0054656A" w:rsidRDefault="00A50247" w:rsidP="00A50247"/>
    <w:p w14:paraId="6F3E22C9" w14:textId="77777777" w:rsidR="00A50247" w:rsidRPr="0054656A" w:rsidRDefault="00A50247" w:rsidP="00A50247">
      <w:pPr>
        <w:jc w:val="center"/>
        <w:rPr>
          <w:color w:val="000000"/>
        </w:rPr>
      </w:pPr>
      <w:r w:rsidRPr="0054656A">
        <w:rPr>
          <w:color w:val="000000"/>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A50247" w:rsidRPr="0054656A" w14:paraId="629F1BB6"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C95BB3" w14:textId="77777777" w:rsidR="00A50247" w:rsidRPr="0054656A" w:rsidRDefault="00A50247" w:rsidP="00C630F0">
            <w:pPr>
              <w:jc w:val="center"/>
            </w:pPr>
            <w:r w:rsidRPr="0054656A">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CFC468" w14:textId="77777777" w:rsidR="00A50247" w:rsidRPr="0054656A" w:rsidRDefault="00A50247" w:rsidP="00C630F0">
            <w:pPr>
              <w:jc w:val="center"/>
            </w:pPr>
            <w:r w:rsidRPr="0054656A">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AEB693" w14:textId="77777777" w:rsidR="00A50247" w:rsidRPr="0054656A" w:rsidRDefault="00A50247" w:rsidP="00C630F0">
            <w:pPr>
              <w:jc w:val="center"/>
            </w:pPr>
            <w:r w:rsidRPr="00DD2906">
              <w:t>Значение</w:t>
            </w:r>
          </w:p>
        </w:tc>
      </w:tr>
      <w:tr w:rsidR="00A50247" w:rsidRPr="0054656A" w14:paraId="4DA0A2CF"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F70E21" w14:textId="77777777" w:rsidR="00A50247" w:rsidRPr="0054656A" w:rsidRDefault="00A50247" w:rsidP="00C630F0">
            <w:r w:rsidRPr="0054656A">
              <w:t>Общая площадь земель муниципального образования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E5C8DF" w14:textId="77777777" w:rsidR="00A50247" w:rsidRPr="0054656A" w:rsidRDefault="00A50247" w:rsidP="00C630F0">
            <w:pPr>
              <w:jc w:val="center"/>
            </w:pPr>
            <w:r w:rsidRPr="0054656A">
              <w:t>гектар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581EC1" w14:textId="77777777" w:rsidR="00A50247" w:rsidRPr="0054656A" w:rsidRDefault="00A50247" w:rsidP="00C630F0">
            <w:pPr>
              <w:jc w:val="center"/>
            </w:pPr>
            <w:r w:rsidRPr="0054656A">
              <w:t>9606</w:t>
            </w:r>
          </w:p>
        </w:tc>
      </w:tr>
      <w:tr w:rsidR="00A50247" w:rsidRPr="0054656A" w14:paraId="558939E2"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92D118" w14:textId="77777777" w:rsidR="00A50247" w:rsidRPr="0054656A" w:rsidRDefault="00A50247" w:rsidP="00C630F0">
            <w:r w:rsidRPr="0054656A">
              <w:lastRenderedPageBreak/>
              <w:t>Общая протяженность освещенных частей улиц, проездов, набережных на конец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6C3CCA" w14:textId="77777777" w:rsidR="00A50247" w:rsidRPr="0054656A" w:rsidRDefault="00A50247" w:rsidP="00C630F0">
            <w:pPr>
              <w:jc w:val="center"/>
            </w:pPr>
            <w:r w:rsidRPr="0054656A">
              <w:t>километр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64FEA0" w14:textId="77777777" w:rsidR="00A50247" w:rsidRPr="0054656A" w:rsidRDefault="00A50247" w:rsidP="00C630F0">
            <w:pPr>
              <w:jc w:val="center"/>
            </w:pPr>
            <w:r w:rsidRPr="0054656A">
              <w:t>10</w:t>
            </w:r>
          </w:p>
        </w:tc>
      </w:tr>
      <w:tr w:rsidR="00A50247" w:rsidRPr="0054656A" w14:paraId="0C0795C0"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E7363" w14:textId="77777777" w:rsidR="00A50247" w:rsidRPr="0054656A" w:rsidRDefault="00A50247" w:rsidP="00C630F0">
            <w:r w:rsidRPr="0054656A">
              <w:t>Общая протяженность улиц, проездов, набережных на конец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1D6019" w14:textId="77777777" w:rsidR="00A50247" w:rsidRPr="0054656A" w:rsidRDefault="00A50247" w:rsidP="00C630F0">
            <w:pPr>
              <w:jc w:val="center"/>
            </w:pPr>
            <w:r w:rsidRPr="0054656A">
              <w:t>километр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FC95B3" w14:textId="77777777" w:rsidR="00A50247" w:rsidRPr="0054656A" w:rsidRDefault="00A50247" w:rsidP="00C630F0">
            <w:pPr>
              <w:jc w:val="center"/>
            </w:pPr>
            <w:r w:rsidRPr="0054656A">
              <w:t>21</w:t>
            </w:r>
          </w:p>
        </w:tc>
      </w:tr>
    </w:tbl>
    <w:p w14:paraId="1A089030" w14:textId="77777777" w:rsidR="00A50247" w:rsidRPr="0054656A" w:rsidRDefault="00A50247" w:rsidP="00A50247"/>
    <w:p w14:paraId="55904612" w14:textId="77777777" w:rsidR="00A50247" w:rsidRPr="0054656A" w:rsidRDefault="00A50247" w:rsidP="00A50247">
      <w:pPr>
        <w:jc w:val="center"/>
        <w:rPr>
          <w:color w:val="000000"/>
        </w:rPr>
      </w:pPr>
      <w:r w:rsidRPr="0054656A">
        <w:rPr>
          <w:color w:val="000000"/>
        </w:rPr>
        <w:t>Коммунальная сфера</w:t>
      </w:r>
    </w:p>
    <w:tbl>
      <w:tblPr>
        <w:tblW w:w="9937"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609"/>
        <w:gridCol w:w="1250"/>
      </w:tblGrid>
      <w:tr w:rsidR="00A50247" w:rsidRPr="0054656A" w14:paraId="707A4F3C"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DD0911" w14:textId="77777777" w:rsidR="00A50247" w:rsidRPr="0054656A" w:rsidRDefault="00A50247" w:rsidP="00C630F0">
            <w:pPr>
              <w:jc w:val="center"/>
            </w:pPr>
            <w:r w:rsidRPr="0054656A">
              <w:t>Показатели</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B19390" w14:textId="77777777" w:rsidR="00A50247" w:rsidRPr="0054656A" w:rsidRDefault="00A50247" w:rsidP="00C630F0">
            <w:pPr>
              <w:jc w:val="center"/>
            </w:pPr>
            <w:r w:rsidRPr="0054656A">
              <w:t>Ед. измерения</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76D29B" w14:textId="77777777" w:rsidR="00A50247" w:rsidRPr="0054656A" w:rsidRDefault="00A50247" w:rsidP="00C630F0">
            <w:pPr>
              <w:jc w:val="center"/>
            </w:pPr>
            <w:r w:rsidRPr="00DD2906">
              <w:t>Значение</w:t>
            </w:r>
          </w:p>
        </w:tc>
      </w:tr>
      <w:tr w:rsidR="00A50247" w:rsidRPr="0054656A" w14:paraId="5F1B752E"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3EA337" w14:textId="77777777" w:rsidR="00A50247" w:rsidRPr="0054656A" w:rsidRDefault="00A50247" w:rsidP="00C630F0">
            <w:r w:rsidRPr="0054656A">
              <w:t>Число источников теплоснабжения</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08368B" w14:textId="77777777" w:rsidR="00A50247" w:rsidRPr="0054656A" w:rsidRDefault="00A50247" w:rsidP="00C630F0"/>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2149DC" w14:textId="77777777" w:rsidR="00A50247" w:rsidRPr="0054656A" w:rsidRDefault="00A50247" w:rsidP="00C630F0">
            <w:pPr>
              <w:jc w:val="center"/>
              <w:rPr>
                <w:sz w:val="20"/>
                <w:szCs w:val="20"/>
              </w:rPr>
            </w:pPr>
          </w:p>
        </w:tc>
      </w:tr>
      <w:tr w:rsidR="00A50247" w:rsidRPr="0054656A" w14:paraId="4DD078E9"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B6B5415" w14:textId="77777777" w:rsidR="00A50247" w:rsidRPr="0054656A" w:rsidRDefault="00A50247" w:rsidP="00C630F0">
            <w:r w:rsidRPr="0054656A">
              <w:t>Всего</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857276" w14:textId="77777777" w:rsidR="00A50247" w:rsidRPr="0054656A" w:rsidRDefault="00A50247" w:rsidP="00C630F0">
            <w:pPr>
              <w:jc w:val="center"/>
            </w:pPr>
            <w:r w:rsidRPr="0054656A">
              <w:t>единица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84E19F" w14:textId="77777777" w:rsidR="00A50247" w:rsidRPr="0054656A" w:rsidRDefault="00A50247" w:rsidP="00C630F0">
            <w:pPr>
              <w:jc w:val="center"/>
            </w:pPr>
            <w:r w:rsidRPr="0054656A">
              <w:t>1</w:t>
            </w:r>
          </w:p>
        </w:tc>
      </w:tr>
      <w:tr w:rsidR="00A50247" w:rsidRPr="0054656A" w14:paraId="049FFBE8"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BB6EEA" w14:textId="77777777" w:rsidR="00A50247" w:rsidRPr="0054656A" w:rsidRDefault="00A50247" w:rsidP="00C630F0">
            <w:r w:rsidRPr="0054656A">
              <w:t>Число источников теплоснабжения мощностью до 3 Гкал/ч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9AF2E8" w14:textId="77777777" w:rsidR="00A50247" w:rsidRPr="0054656A" w:rsidRDefault="00A50247" w:rsidP="00C630F0"/>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57756" w14:textId="77777777" w:rsidR="00A50247" w:rsidRPr="0054656A" w:rsidRDefault="00A50247" w:rsidP="00C630F0">
            <w:pPr>
              <w:jc w:val="center"/>
              <w:rPr>
                <w:sz w:val="20"/>
                <w:szCs w:val="20"/>
              </w:rPr>
            </w:pPr>
          </w:p>
        </w:tc>
      </w:tr>
      <w:tr w:rsidR="00A50247" w:rsidRPr="0054656A" w14:paraId="1AE932AA"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88FA8B5" w14:textId="77777777" w:rsidR="00A50247" w:rsidRPr="0054656A" w:rsidRDefault="00A50247" w:rsidP="00C630F0">
            <w:r w:rsidRPr="0054656A">
              <w:t>До 3 гигакал/ч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47EECA" w14:textId="77777777" w:rsidR="00A50247" w:rsidRPr="0054656A" w:rsidRDefault="00A50247" w:rsidP="00C630F0">
            <w:pPr>
              <w:jc w:val="center"/>
            </w:pPr>
            <w:r w:rsidRPr="0054656A">
              <w:t>единица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A0765B" w14:textId="77777777" w:rsidR="00A50247" w:rsidRPr="0054656A" w:rsidRDefault="00A50247" w:rsidP="00C630F0">
            <w:pPr>
              <w:jc w:val="center"/>
            </w:pPr>
            <w:r w:rsidRPr="0054656A">
              <w:t>1</w:t>
            </w:r>
          </w:p>
        </w:tc>
      </w:tr>
      <w:tr w:rsidR="00A50247" w:rsidRPr="0054656A" w14:paraId="74C64951"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4960AC" w14:textId="77777777" w:rsidR="00A50247" w:rsidRPr="0054656A" w:rsidRDefault="00A50247" w:rsidP="00C630F0">
            <w:r w:rsidRPr="0054656A">
              <w:t xml:space="preserve">Протяженность тепловых и паровых сетей в двух-трубном исчислении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0E9A2D" w14:textId="77777777" w:rsidR="00A50247" w:rsidRPr="0054656A" w:rsidRDefault="00A50247" w:rsidP="00C630F0">
            <w:pPr>
              <w:jc w:val="center"/>
            </w:pPr>
            <w:r w:rsidRPr="0054656A">
              <w:t>метр</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3D7534" w14:textId="77777777" w:rsidR="00A50247" w:rsidRPr="0054656A" w:rsidRDefault="00A50247" w:rsidP="00C630F0">
            <w:pPr>
              <w:jc w:val="center"/>
            </w:pPr>
            <w:r w:rsidRPr="0054656A">
              <w:t>380</w:t>
            </w:r>
          </w:p>
        </w:tc>
      </w:tr>
      <w:tr w:rsidR="00A50247" w:rsidRPr="0054656A" w14:paraId="0D78DFCF"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F7AB53" w14:textId="77777777" w:rsidR="00A50247" w:rsidRPr="0054656A" w:rsidRDefault="00A50247" w:rsidP="00C630F0">
            <w:r w:rsidRPr="0054656A">
              <w:t xml:space="preserve">Одиночное протяжение уличной водопроводной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747594" w14:textId="77777777" w:rsidR="00A50247" w:rsidRPr="0054656A" w:rsidRDefault="00A50247" w:rsidP="00C630F0"/>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CF944B" w14:textId="77777777" w:rsidR="00A50247" w:rsidRPr="0054656A" w:rsidRDefault="00A50247" w:rsidP="00C630F0">
            <w:pPr>
              <w:jc w:val="center"/>
              <w:rPr>
                <w:sz w:val="20"/>
                <w:szCs w:val="20"/>
              </w:rPr>
            </w:pPr>
          </w:p>
        </w:tc>
      </w:tr>
      <w:tr w:rsidR="00A50247" w:rsidRPr="0054656A" w14:paraId="5F7A05E7"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12EC484" w14:textId="77777777" w:rsidR="00A50247" w:rsidRPr="0054656A" w:rsidRDefault="00A50247" w:rsidP="00C630F0">
            <w:r w:rsidRPr="0054656A">
              <w:t>Уличная водопроводная сеть</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35DE43" w14:textId="77777777" w:rsidR="00A50247" w:rsidRPr="0054656A" w:rsidRDefault="00A50247" w:rsidP="00C630F0">
            <w:pPr>
              <w:jc w:val="center"/>
            </w:pPr>
            <w:r w:rsidRPr="0054656A">
              <w:t>метр</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C6FCD" w14:textId="77777777" w:rsidR="00A50247" w:rsidRPr="0054656A" w:rsidRDefault="00A50247" w:rsidP="00C630F0">
            <w:pPr>
              <w:jc w:val="center"/>
            </w:pPr>
            <w:r w:rsidRPr="0054656A">
              <w:t>5700</w:t>
            </w:r>
          </w:p>
        </w:tc>
      </w:tr>
      <w:tr w:rsidR="00A50247" w:rsidRPr="0054656A" w14:paraId="3A024AEE"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4167A0" w14:textId="77777777" w:rsidR="00A50247" w:rsidRPr="0054656A" w:rsidRDefault="00A50247" w:rsidP="00C630F0">
            <w:r w:rsidRPr="0054656A">
              <w:t xml:space="preserve">Одиночное протяжение уличной водопроводной сети, нуждающейся в замене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3156DE" w14:textId="77777777" w:rsidR="00A50247" w:rsidRPr="0054656A" w:rsidRDefault="00A50247" w:rsidP="00C630F0"/>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DE5226" w14:textId="77777777" w:rsidR="00A50247" w:rsidRPr="0054656A" w:rsidRDefault="00A50247" w:rsidP="00C630F0">
            <w:pPr>
              <w:jc w:val="center"/>
              <w:rPr>
                <w:sz w:val="20"/>
                <w:szCs w:val="20"/>
              </w:rPr>
            </w:pPr>
          </w:p>
        </w:tc>
      </w:tr>
      <w:tr w:rsidR="00A50247" w:rsidRPr="0054656A" w14:paraId="37F94FA4"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5015F1C" w14:textId="77777777" w:rsidR="00A50247" w:rsidRPr="0054656A" w:rsidRDefault="00A50247" w:rsidP="00C630F0">
            <w:r w:rsidRPr="0054656A">
              <w:t>Уличная водопроводная сеть, нуждающаяся в замене</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AA7610" w14:textId="77777777" w:rsidR="00A50247" w:rsidRPr="0054656A" w:rsidRDefault="00A50247" w:rsidP="00C630F0">
            <w:pPr>
              <w:jc w:val="center"/>
            </w:pPr>
            <w:r w:rsidRPr="0054656A">
              <w:t>метр</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8002D4" w14:textId="77777777" w:rsidR="00A50247" w:rsidRPr="0054656A" w:rsidRDefault="00A50247" w:rsidP="00C630F0">
            <w:pPr>
              <w:jc w:val="center"/>
            </w:pPr>
            <w:r w:rsidRPr="0054656A">
              <w:t>1900</w:t>
            </w:r>
          </w:p>
        </w:tc>
      </w:tr>
      <w:tr w:rsidR="00A50247" w:rsidRPr="0054656A" w14:paraId="07443BED"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710B22" w14:textId="77777777" w:rsidR="00A50247" w:rsidRPr="0054656A" w:rsidRDefault="00A50247" w:rsidP="00C630F0">
            <w:r w:rsidRPr="0054656A">
              <w:t xml:space="preserve">Одиночное протяжение уличной газовой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C51F45" w14:textId="77777777" w:rsidR="00A50247" w:rsidRPr="0054656A" w:rsidRDefault="00A50247" w:rsidP="00C630F0">
            <w:pPr>
              <w:jc w:val="center"/>
            </w:pPr>
            <w:r w:rsidRPr="0054656A">
              <w:t>метр</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4D8717" w14:textId="77777777" w:rsidR="00A50247" w:rsidRPr="0054656A" w:rsidRDefault="00A50247" w:rsidP="00C630F0">
            <w:pPr>
              <w:jc w:val="center"/>
            </w:pPr>
            <w:r w:rsidRPr="0054656A">
              <w:t>21000</w:t>
            </w:r>
          </w:p>
        </w:tc>
      </w:tr>
      <w:tr w:rsidR="00A50247" w:rsidRPr="0054656A" w14:paraId="50C26234"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BB99E9" w14:textId="77777777" w:rsidR="00A50247" w:rsidRPr="0054656A" w:rsidRDefault="00A50247" w:rsidP="00C630F0">
            <w:r w:rsidRPr="0054656A">
              <w:t>Общая площадь жилых помещений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0C5CEE" w14:textId="77777777" w:rsidR="00A50247" w:rsidRPr="0054656A" w:rsidRDefault="00A50247" w:rsidP="00C630F0"/>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55F5C5" w14:textId="77777777" w:rsidR="00A50247" w:rsidRPr="0054656A" w:rsidRDefault="00A50247" w:rsidP="00C630F0">
            <w:pPr>
              <w:jc w:val="center"/>
              <w:rPr>
                <w:sz w:val="20"/>
                <w:szCs w:val="20"/>
              </w:rPr>
            </w:pPr>
          </w:p>
        </w:tc>
      </w:tr>
      <w:tr w:rsidR="00A50247" w:rsidRPr="0054656A" w14:paraId="63E30C7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C3E4459" w14:textId="77777777" w:rsidR="00A50247" w:rsidRPr="0054656A" w:rsidRDefault="00A50247" w:rsidP="00C630F0">
            <w:r w:rsidRPr="0054656A">
              <w:t>Весь жилищный фонд</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D0F3E9" w14:textId="77777777" w:rsidR="00A50247" w:rsidRPr="0054656A" w:rsidRDefault="00A50247" w:rsidP="00C630F0">
            <w:pPr>
              <w:jc w:val="center"/>
            </w:pPr>
            <w:r w:rsidRPr="00DD2906">
              <w:t>1000 кв. метров</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29E27F" w14:textId="77777777" w:rsidR="00A50247" w:rsidRPr="0054656A" w:rsidRDefault="00A50247" w:rsidP="00C630F0">
            <w:pPr>
              <w:jc w:val="center"/>
            </w:pPr>
            <w:r w:rsidRPr="0054656A">
              <w:t>18.8</w:t>
            </w:r>
          </w:p>
        </w:tc>
      </w:tr>
      <w:tr w:rsidR="00A50247" w:rsidRPr="0054656A" w14:paraId="1E7EB0FB"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61DB0B" w14:textId="77777777" w:rsidR="00A50247" w:rsidRPr="0054656A" w:rsidRDefault="00A50247" w:rsidP="00C630F0">
            <w:r w:rsidRPr="0054656A">
              <w:t>Количество населенных пунктов, не имеющих водопроводов (отдельных водопроводных сетей)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1CF61B" w14:textId="77777777" w:rsidR="00A50247" w:rsidRPr="0054656A" w:rsidRDefault="00A50247" w:rsidP="00C630F0">
            <w:pPr>
              <w:jc w:val="center"/>
            </w:pPr>
            <w:r w:rsidRPr="0054656A">
              <w:t>единица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1A6417" w14:textId="77777777" w:rsidR="00A50247" w:rsidRPr="0054656A" w:rsidRDefault="00A50247" w:rsidP="00C630F0">
            <w:pPr>
              <w:jc w:val="center"/>
            </w:pPr>
            <w:r w:rsidRPr="0054656A">
              <w:t>1</w:t>
            </w:r>
          </w:p>
        </w:tc>
      </w:tr>
      <w:tr w:rsidR="00A50247" w:rsidRPr="0054656A" w14:paraId="1428880C"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5852DD" w14:textId="77777777" w:rsidR="00A50247" w:rsidRPr="0054656A" w:rsidRDefault="00A50247" w:rsidP="00C630F0">
            <w:r w:rsidRPr="0054656A">
              <w:t>Количество населенных пунктов, не имеющих канализаций (отдельных канализационных сетей)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6FE5A4" w14:textId="77777777" w:rsidR="00A50247" w:rsidRPr="0054656A" w:rsidRDefault="00A50247" w:rsidP="00C630F0">
            <w:pPr>
              <w:jc w:val="center"/>
            </w:pPr>
            <w:r w:rsidRPr="0054656A">
              <w:t>единица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C99A13" w14:textId="77777777" w:rsidR="00A50247" w:rsidRPr="0054656A" w:rsidRDefault="00A50247" w:rsidP="00C630F0">
            <w:pPr>
              <w:jc w:val="center"/>
            </w:pPr>
            <w:r w:rsidRPr="0054656A">
              <w:t>3</w:t>
            </w:r>
          </w:p>
        </w:tc>
      </w:tr>
    </w:tbl>
    <w:p w14:paraId="71F7F039" w14:textId="77777777" w:rsidR="00A50247" w:rsidRPr="0054656A" w:rsidRDefault="00A50247" w:rsidP="00A50247"/>
    <w:p w14:paraId="4FC7BFEE" w14:textId="77777777" w:rsidR="00A50247" w:rsidRPr="0054656A" w:rsidRDefault="00A50247" w:rsidP="00A50247">
      <w:pPr>
        <w:jc w:val="center"/>
        <w:rPr>
          <w:color w:val="000000"/>
        </w:rPr>
      </w:pPr>
      <w:r w:rsidRPr="0054656A">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701"/>
        <w:gridCol w:w="1134"/>
      </w:tblGrid>
      <w:tr w:rsidR="00A50247" w:rsidRPr="0054656A" w14:paraId="0AE8A40D"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1AE5CD" w14:textId="77777777" w:rsidR="00A50247" w:rsidRPr="0054656A" w:rsidRDefault="00A50247" w:rsidP="00C630F0">
            <w:pPr>
              <w:jc w:val="center"/>
            </w:pPr>
            <w:r w:rsidRPr="0054656A">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EEC93B" w14:textId="77777777" w:rsidR="00A50247" w:rsidRPr="0054656A" w:rsidRDefault="00A50247" w:rsidP="00C630F0">
            <w:pPr>
              <w:jc w:val="center"/>
            </w:pPr>
            <w:r w:rsidRPr="0054656A">
              <w:t>Ед. измерения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AABB85" w14:textId="77777777" w:rsidR="00A50247" w:rsidRPr="0054656A" w:rsidRDefault="00A50247" w:rsidP="00C630F0">
            <w:pPr>
              <w:jc w:val="center"/>
            </w:pPr>
            <w:r w:rsidRPr="00DD2906">
              <w:t>Значение</w:t>
            </w:r>
          </w:p>
        </w:tc>
      </w:tr>
      <w:tr w:rsidR="00A50247" w:rsidRPr="0054656A" w14:paraId="48CC6743"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EA4C2F" w14:textId="77777777" w:rsidR="00A50247" w:rsidRPr="0054656A" w:rsidRDefault="00A50247" w:rsidP="00C630F0">
            <w:r w:rsidRPr="0054656A">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796929" w14:textId="77777777" w:rsidR="00A50247" w:rsidRPr="0054656A" w:rsidRDefault="00A50247" w:rsidP="00C630F0">
            <w:pPr>
              <w:jc w:val="center"/>
            </w:pPr>
            <w:r w:rsidRPr="0054656A">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C42BAC" w14:textId="77777777" w:rsidR="00A50247" w:rsidRPr="0054656A" w:rsidRDefault="00A50247" w:rsidP="00C630F0">
            <w:pPr>
              <w:jc w:val="center"/>
            </w:pPr>
            <w:r w:rsidRPr="0054656A">
              <w:t>3</w:t>
            </w:r>
          </w:p>
        </w:tc>
      </w:tr>
      <w:tr w:rsidR="00A50247" w:rsidRPr="0054656A" w14:paraId="654ECE22"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A23FE4" w14:textId="77777777" w:rsidR="00A50247" w:rsidRPr="0054656A" w:rsidRDefault="00A50247" w:rsidP="00C630F0">
            <w:r w:rsidRPr="0054656A">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7A03C4" w14:textId="77777777" w:rsidR="00A50247" w:rsidRPr="0054656A" w:rsidRDefault="00A50247" w:rsidP="00C630F0">
            <w:pPr>
              <w:jc w:val="center"/>
            </w:pPr>
            <w:r w:rsidRPr="0054656A">
              <w:t>единица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EF4C4C" w14:textId="77777777" w:rsidR="00A50247" w:rsidRPr="0054656A" w:rsidRDefault="00A50247" w:rsidP="00C630F0">
            <w:pPr>
              <w:jc w:val="center"/>
            </w:pPr>
            <w:r w:rsidRPr="0054656A">
              <w:t>3</w:t>
            </w:r>
          </w:p>
        </w:tc>
      </w:tr>
    </w:tbl>
    <w:p w14:paraId="1B46D5FB" w14:textId="77777777" w:rsidR="00A50247" w:rsidRPr="0054656A" w:rsidRDefault="00A50247" w:rsidP="00A50247"/>
    <w:p w14:paraId="078BB9AE" w14:textId="77777777" w:rsidR="00A50247" w:rsidRPr="0054656A" w:rsidRDefault="00A50247" w:rsidP="00A50247">
      <w:pPr>
        <w:jc w:val="center"/>
        <w:rPr>
          <w:color w:val="000000"/>
        </w:rPr>
      </w:pPr>
      <w:r w:rsidRPr="0054656A">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680"/>
        <w:gridCol w:w="1155"/>
      </w:tblGrid>
      <w:tr w:rsidR="00A50247" w:rsidRPr="0054656A" w14:paraId="24B55D28"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5F043B" w14:textId="77777777" w:rsidR="00A50247" w:rsidRPr="0054656A" w:rsidRDefault="00A50247" w:rsidP="00C630F0">
            <w:pPr>
              <w:jc w:val="center"/>
            </w:pPr>
            <w:r w:rsidRPr="0054656A">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3211DD" w14:textId="77777777" w:rsidR="00A50247" w:rsidRPr="0054656A" w:rsidRDefault="00A50247" w:rsidP="00C630F0">
            <w:pPr>
              <w:jc w:val="center"/>
            </w:pPr>
            <w:r w:rsidRPr="0054656A">
              <w:t>Ед. измерения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E44198" w14:textId="77777777" w:rsidR="00A50247" w:rsidRPr="0054656A" w:rsidRDefault="00A50247" w:rsidP="00C630F0">
            <w:pPr>
              <w:jc w:val="center"/>
            </w:pPr>
            <w:r w:rsidRPr="00DD2906">
              <w:t>Значение</w:t>
            </w:r>
          </w:p>
        </w:tc>
      </w:tr>
      <w:tr w:rsidR="00A50247" w:rsidRPr="0054656A" w14:paraId="74612413"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C38173" w14:textId="77777777" w:rsidR="00A50247" w:rsidRPr="0054656A" w:rsidRDefault="00A50247" w:rsidP="00C630F0">
            <w:r w:rsidRPr="0054656A">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4A0247" w14:textId="77777777" w:rsidR="00A50247" w:rsidRPr="0054656A" w:rsidRDefault="00A50247" w:rsidP="00C630F0"/>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462E0A" w14:textId="77777777" w:rsidR="00A50247" w:rsidRPr="0054656A" w:rsidRDefault="00A50247" w:rsidP="00C630F0">
            <w:pPr>
              <w:jc w:val="center"/>
              <w:rPr>
                <w:sz w:val="20"/>
                <w:szCs w:val="20"/>
              </w:rPr>
            </w:pPr>
          </w:p>
        </w:tc>
      </w:tr>
      <w:tr w:rsidR="00A50247" w:rsidRPr="0054656A" w14:paraId="417963D9"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DB1E310" w14:textId="77777777" w:rsidR="00A50247" w:rsidRPr="0054656A" w:rsidRDefault="00A50247" w:rsidP="00C630F0">
            <w:r w:rsidRPr="0054656A">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60C7E3" w14:textId="77777777" w:rsidR="00A50247" w:rsidRPr="0054656A" w:rsidRDefault="00A50247" w:rsidP="00C630F0"/>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E11898" w14:textId="77777777" w:rsidR="00A50247" w:rsidRPr="0054656A" w:rsidRDefault="00A50247" w:rsidP="00C630F0">
            <w:pPr>
              <w:jc w:val="center"/>
              <w:rPr>
                <w:sz w:val="20"/>
                <w:szCs w:val="20"/>
              </w:rPr>
            </w:pPr>
          </w:p>
        </w:tc>
      </w:tr>
      <w:tr w:rsidR="00A50247" w:rsidRPr="0054656A" w14:paraId="33143215"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68F8537F" w14:textId="77777777" w:rsidR="00A50247" w:rsidRPr="0054656A" w:rsidRDefault="00A50247" w:rsidP="00C630F0">
            <w:r w:rsidRPr="0054656A">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A81CE9" w14:textId="77777777" w:rsidR="00A50247" w:rsidRPr="0054656A" w:rsidRDefault="00A50247" w:rsidP="00C630F0">
            <w:pPr>
              <w:jc w:val="center"/>
            </w:pPr>
            <w:r w:rsidRPr="0054656A">
              <w:t>человек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69CE17" w14:textId="77777777" w:rsidR="00A50247" w:rsidRPr="0054656A" w:rsidRDefault="00A50247" w:rsidP="00C630F0">
            <w:pPr>
              <w:jc w:val="center"/>
            </w:pPr>
            <w:r w:rsidRPr="0054656A">
              <w:t>678</w:t>
            </w:r>
          </w:p>
        </w:tc>
      </w:tr>
      <w:tr w:rsidR="00A50247" w:rsidRPr="0054656A" w14:paraId="79F8B1BE"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8D20E6C" w14:textId="77777777" w:rsidR="00A50247" w:rsidRPr="0054656A" w:rsidRDefault="00A50247" w:rsidP="00C630F0">
            <w:r w:rsidRPr="0054656A">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8000F4" w14:textId="77777777" w:rsidR="00A50247" w:rsidRPr="0054656A" w:rsidRDefault="00A50247" w:rsidP="00C630F0"/>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B16190" w14:textId="77777777" w:rsidR="00A50247" w:rsidRPr="0054656A" w:rsidRDefault="00A50247" w:rsidP="00C630F0">
            <w:pPr>
              <w:jc w:val="center"/>
              <w:rPr>
                <w:sz w:val="20"/>
                <w:szCs w:val="20"/>
              </w:rPr>
            </w:pPr>
          </w:p>
        </w:tc>
      </w:tr>
      <w:tr w:rsidR="00A50247" w:rsidRPr="0054656A" w14:paraId="056B96CB"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4C7BD75" w14:textId="77777777" w:rsidR="00A50247" w:rsidRPr="0054656A" w:rsidRDefault="00A50247" w:rsidP="00C630F0">
            <w:r w:rsidRPr="0054656A">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BC2007" w14:textId="77777777" w:rsidR="00A50247" w:rsidRPr="0054656A" w:rsidRDefault="00A50247" w:rsidP="00C630F0">
            <w:pPr>
              <w:jc w:val="center"/>
            </w:pPr>
            <w:r w:rsidRPr="0054656A">
              <w:t>человек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255CF3" w14:textId="77777777" w:rsidR="00A50247" w:rsidRPr="0054656A" w:rsidRDefault="00A50247" w:rsidP="00C630F0">
            <w:pPr>
              <w:jc w:val="center"/>
            </w:pPr>
            <w:r w:rsidRPr="0054656A">
              <w:t>678</w:t>
            </w:r>
          </w:p>
        </w:tc>
      </w:tr>
      <w:tr w:rsidR="00A50247" w:rsidRPr="0054656A" w14:paraId="037ECEA0"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84AC49" w14:textId="77777777" w:rsidR="00A50247" w:rsidRPr="0054656A" w:rsidRDefault="00A50247" w:rsidP="00C630F0">
            <w:r w:rsidRPr="0054656A">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D22B62" w14:textId="77777777" w:rsidR="00A50247" w:rsidRPr="0054656A" w:rsidRDefault="00A50247" w:rsidP="00C630F0">
            <w:pPr>
              <w:jc w:val="center"/>
            </w:pPr>
            <w:r w:rsidRPr="0054656A">
              <w:t>человек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D737A7" w14:textId="77777777" w:rsidR="00A50247" w:rsidRPr="0054656A" w:rsidRDefault="00A50247" w:rsidP="00C630F0">
            <w:pPr>
              <w:jc w:val="center"/>
            </w:pPr>
            <w:r w:rsidRPr="0054656A">
              <w:t>10</w:t>
            </w:r>
          </w:p>
        </w:tc>
      </w:tr>
      <w:tr w:rsidR="00A50247" w:rsidRPr="0054656A" w14:paraId="72661E5C"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C97225" w14:textId="77777777" w:rsidR="00A50247" w:rsidRPr="0054656A" w:rsidRDefault="00A50247" w:rsidP="00C630F0">
            <w:r w:rsidRPr="0054656A">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2CBABF" w14:textId="77777777" w:rsidR="00A50247" w:rsidRPr="0054656A" w:rsidRDefault="00A50247" w:rsidP="00C630F0">
            <w:pPr>
              <w:jc w:val="center"/>
            </w:pPr>
            <w:r w:rsidRPr="0054656A">
              <w:t>человек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053243" w14:textId="77777777" w:rsidR="00A50247" w:rsidRPr="0054656A" w:rsidRDefault="00A50247" w:rsidP="00C630F0">
            <w:pPr>
              <w:jc w:val="center"/>
            </w:pPr>
            <w:r w:rsidRPr="0054656A">
              <w:t>-6</w:t>
            </w:r>
          </w:p>
        </w:tc>
      </w:tr>
      <w:tr w:rsidR="00A50247" w:rsidRPr="0054656A" w14:paraId="365CEFBD"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A7B073" w14:textId="77777777" w:rsidR="00A50247" w:rsidRPr="0054656A" w:rsidRDefault="00A50247" w:rsidP="00C630F0">
            <w:r w:rsidRPr="0054656A">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28FD87" w14:textId="77777777" w:rsidR="00A50247" w:rsidRPr="0054656A" w:rsidRDefault="00A50247" w:rsidP="00C630F0">
            <w:pPr>
              <w:jc w:val="center"/>
            </w:pPr>
            <w:r w:rsidRPr="0054656A">
              <w:t>промилле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92DE09" w14:textId="77777777" w:rsidR="00A50247" w:rsidRPr="0054656A" w:rsidRDefault="00A50247" w:rsidP="00C630F0">
            <w:pPr>
              <w:jc w:val="center"/>
            </w:pPr>
            <w:r w:rsidRPr="0054656A">
              <w:t>14.9</w:t>
            </w:r>
          </w:p>
        </w:tc>
      </w:tr>
      <w:tr w:rsidR="00A50247" w:rsidRPr="0054656A" w14:paraId="04063433"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65F1DD" w14:textId="77777777" w:rsidR="00A50247" w:rsidRPr="0054656A" w:rsidRDefault="00A50247" w:rsidP="00C630F0">
            <w:r w:rsidRPr="0054656A">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FC7AB6" w14:textId="77777777" w:rsidR="00A50247" w:rsidRPr="0054656A" w:rsidRDefault="00A50247" w:rsidP="00C630F0">
            <w:pPr>
              <w:jc w:val="center"/>
            </w:pPr>
            <w:r w:rsidRPr="0054656A">
              <w:t>промилле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FC6047" w14:textId="77777777" w:rsidR="00A50247" w:rsidRPr="0054656A" w:rsidRDefault="00A50247" w:rsidP="00C630F0">
            <w:pPr>
              <w:jc w:val="center"/>
            </w:pPr>
            <w:r w:rsidRPr="0054656A">
              <w:t>23.9</w:t>
            </w:r>
          </w:p>
        </w:tc>
      </w:tr>
      <w:tr w:rsidR="00A50247" w:rsidRPr="0054656A" w14:paraId="5D01B2E7" w14:textId="77777777" w:rsidTr="00C630F0">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0D490A" w14:textId="77777777" w:rsidR="00A50247" w:rsidRPr="0054656A" w:rsidRDefault="00A50247" w:rsidP="00C630F0">
            <w:r w:rsidRPr="0054656A">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B7ED89" w14:textId="77777777" w:rsidR="00A50247" w:rsidRPr="0054656A" w:rsidRDefault="00A50247" w:rsidP="00C630F0">
            <w:pPr>
              <w:jc w:val="center"/>
            </w:pPr>
            <w:r w:rsidRPr="0054656A">
              <w:t>промилле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205FA3" w14:textId="77777777" w:rsidR="00A50247" w:rsidRPr="0054656A" w:rsidRDefault="00A50247" w:rsidP="00C630F0">
            <w:pPr>
              <w:jc w:val="center"/>
            </w:pPr>
            <w:r w:rsidRPr="0054656A">
              <w:t>-9</w:t>
            </w:r>
          </w:p>
        </w:tc>
      </w:tr>
    </w:tbl>
    <w:p w14:paraId="4816AB8E" w14:textId="77777777" w:rsidR="005E602C" w:rsidRPr="00564B51" w:rsidRDefault="005E602C" w:rsidP="00A50247">
      <w:pPr>
        <w:pStyle w:val="af2"/>
        <w:jc w:val="right"/>
        <w:outlineLvl w:val="9"/>
        <w:rPr>
          <w:b w:val="0"/>
          <w:color w:val="auto"/>
          <w:sz w:val="28"/>
          <w:szCs w:val="28"/>
        </w:rPr>
      </w:pPr>
    </w:p>
    <w:sectPr w:rsidR="005E602C" w:rsidRPr="00564B51" w:rsidSect="007407CD">
      <w:headerReference w:type="default" r:id="rId24"/>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A16C" w14:textId="77777777" w:rsidR="001A6565" w:rsidRDefault="001A6565" w:rsidP="004454F1">
      <w:r>
        <w:separator/>
      </w:r>
    </w:p>
  </w:endnote>
  <w:endnote w:type="continuationSeparator" w:id="0">
    <w:p w14:paraId="5F91C889" w14:textId="77777777" w:rsidR="001A6565" w:rsidRDefault="001A6565"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DEE9" w14:textId="77777777" w:rsidR="001A6565" w:rsidRDefault="001A6565" w:rsidP="004454F1">
      <w:r>
        <w:separator/>
      </w:r>
    </w:p>
  </w:footnote>
  <w:footnote w:type="continuationSeparator" w:id="0">
    <w:p w14:paraId="2E5DF208" w14:textId="77777777" w:rsidR="001A6565" w:rsidRDefault="001A6565"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6565"/>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3A1A"/>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024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internet.garant.ru/document/redirect/7466049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420377843"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http://docs.cntd.ru/document/4203778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22D8388D3BBF2AD40458F8F3926B619CF2E9EC153940F29355CB24K3qAN"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docs.cntd.ru/document/45601126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mobileonline.garant.ru/document/redirect/746532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29</Pages>
  <Words>9650</Words>
  <Characters>55011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19</cp:revision>
  <cp:lastPrinted>2016-07-29T12:41:00Z</cp:lastPrinted>
  <dcterms:created xsi:type="dcterms:W3CDTF">2022-12-08T14:59:00Z</dcterms:created>
  <dcterms:modified xsi:type="dcterms:W3CDTF">2022-12-09T18:47:00Z</dcterms:modified>
</cp:coreProperties>
</file>